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809C" w14:textId="77777777" w:rsidR="002E1ACD" w:rsidRDefault="002E1ACD" w:rsidP="00EE42DD">
      <w:pPr>
        <w:spacing w:after="0" w:line="276" w:lineRule="auto"/>
        <w:ind w:left="6946"/>
        <w:rPr>
          <w:rFonts w:cstheme="minorHAnsi"/>
          <w:sz w:val="20"/>
        </w:rPr>
      </w:pPr>
    </w:p>
    <w:p w14:paraId="486CAB06" w14:textId="4A7ACE6C" w:rsidR="002E1ACD" w:rsidRDefault="002E1ACD" w:rsidP="002E1ACD">
      <w:pPr>
        <w:spacing w:after="0" w:line="276" w:lineRule="auto"/>
        <w:ind w:left="6946" w:hanging="6095"/>
        <w:rPr>
          <w:rFonts w:cstheme="minorHAnsi"/>
          <w:sz w:val="20"/>
        </w:rPr>
      </w:pPr>
      <w:r w:rsidRPr="00E64349">
        <w:rPr>
          <w:noProof/>
          <w:sz w:val="16"/>
          <w:szCs w:val="16"/>
        </w:rPr>
        <w:drawing>
          <wp:inline distT="0" distB="0" distL="0" distR="0" wp14:anchorId="644DEEF5" wp14:editId="28B6B57B">
            <wp:extent cx="2305050"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14:paraId="2828BCF4" w14:textId="3B3C0DDD" w:rsidR="002E1ACD" w:rsidRDefault="002E1ACD" w:rsidP="00EE42DD">
      <w:pPr>
        <w:spacing w:after="0" w:line="276" w:lineRule="auto"/>
        <w:ind w:left="6946"/>
        <w:rPr>
          <w:rFonts w:cstheme="minorHAnsi"/>
          <w:sz w:val="20"/>
        </w:rPr>
      </w:pPr>
    </w:p>
    <w:p w14:paraId="77C0A99A" w14:textId="77777777" w:rsidR="002E1ACD" w:rsidRDefault="002E1ACD" w:rsidP="002E1ACD">
      <w:pPr>
        <w:spacing w:after="0" w:line="276" w:lineRule="auto"/>
        <w:rPr>
          <w:rFonts w:cstheme="minorHAnsi"/>
          <w:sz w:val="20"/>
        </w:rPr>
      </w:pPr>
    </w:p>
    <w:p w14:paraId="0A9821AC" w14:textId="047781F1"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5612CF95" w:rsidR="00C90260" w:rsidRPr="00ED054C" w:rsidRDefault="00C90260" w:rsidP="00C90260">
      <w:pPr>
        <w:spacing w:line="360" w:lineRule="auto"/>
        <w:jc w:val="center"/>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lastRenderedPageBreak/>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 xml:space="preserve">d720 Złożone kontakty międzyludzkie (Utrzymywanie i kontrolowanie wzajemnych kontaktów z innymi ludźmi, w sposób odpowiedni do danej sytuacji i akceptowany społecznie tak jak np. kontrolowanie emocji i </w:t>
      </w:r>
      <w:r w:rsidRPr="00CE1287">
        <w:rPr>
          <w:rFonts w:cstheme="minorHAnsi"/>
        </w:rPr>
        <w:lastRenderedPageBreak/>
        <w:t>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lastRenderedPageBreak/>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083B" w14:textId="77777777" w:rsidR="00CC6391" w:rsidRDefault="00CC6391" w:rsidP="009B46DC">
      <w:pPr>
        <w:spacing w:after="0" w:line="240" w:lineRule="auto"/>
      </w:pPr>
      <w:r>
        <w:separator/>
      </w:r>
    </w:p>
  </w:endnote>
  <w:endnote w:type="continuationSeparator" w:id="0">
    <w:p w14:paraId="577E16CC" w14:textId="77777777" w:rsidR="00CC6391" w:rsidRDefault="00CC6391"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B3B5" w14:textId="77777777" w:rsidR="00CC6391" w:rsidRDefault="00CC6391" w:rsidP="009B46DC">
      <w:pPr>
        <w:spacing w:after="0" w:line="240" w:lineRule="auto"/>
      </w:pPr>
      <w:r>
        <w:separator/>
      </w:r>
    </w:p>
  </w:footnote>
  <w:footnote w:type="continuationSeparator" w:id="0">
    <w:p w14:paraId="52913B8D" w14:textId="77777777" w:rsidR="00CC6391" w:rsidRDefault="00CC6391"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7472669">
    <w:abstractNumId w:val="2"/>
  </w:num>
  <w:num w:numId="2" w16cid:durableId="1795252290">
    <w:abstractNumId w:val="1"/>
  </w:num>
  <w:num w:numId="3" w16cid:durableId="396704574">
    <w:abstractNumId w:val="0"/>
  </w:num>
  <w:num w:numId="4" w16cid:durableId="1098327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33728"/>
    <w:rsid w:val="000B003B"/>
    <w:rsid w:val="000F5044"/>
    <w:rsid w:val="0015316D"/>
    <w:rsid w:val="001A5EC4"/>
    <w:rsid w:val="00264F64"/>
    <w:rsid w:val="002B01A2"/>
    <w:rsid w:val="002D785E"/>
    <w:rsid w:val="002E1ACD"/>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C6391"/>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 w:val="00F82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13866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Pomost</cp:lastModifiedBy>
  <cp:revision>2</cp:revision>
  <dcterms:created xsi:type="dcterms:W3CDTF">2023-03-07T13:41:00Z</dcterms:created>
  <dcterms:modified xsi:type="dcterms:W3CDTF">2023-03-07T13:41:00Z</dcterms:modified>
</cp:coreProperties>
</file>